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82392" w14:textId="7A4D77F6" w:rsidR="004968C1" w:rsidRPr="0045110A" w:rsidRDefault="00BA2908" w:rsidP="0045110A">
      <w:pPr>
        <w:spacing w:before="100" w:beforeAutospacing="1" w:after="100" w:afterAutospacing="1" w:line="360" w:lineRule="auto"/>
        <w:jc w:val="right"/>
        <w:rPr>
          <w:rFonts w:ascii="Verdana" w:eastAsia="Times New Roman" w:hAnsi="Verdana" w:cs="Times New Roman"/>
          <w:sz w:val="20"/>
          <w:szCs w:val="24"/>
          <w:lang w:val="es-ES"/>
        </w:rPr>
      </w:pPr>
      <w:r w:rsidRPr="0045110A">
        <w:rPr>
          <w:rFonts w:ascii="Verdana" w:eastAsia="Times New Roman" w:hAnsi="Verdana" w:cs="Times New Roman"/>
          <w:sz w:val="20"/>
          <w:szCs w:val="24"/>
        </w:rPr>
        <w:t>Pinar del Río</w:t>
      </w:r>
      <w:r w:rsidR="004968C1" w:rsidRPr="0045110A">
        <w:rPr>
          <w:rFonts w:ascii="Verdana" w:eastAsia="Times New Roman" w:hAnsi="Verdana" w:cs="Times New Roman"/>
          <w:sz w:val="20"/>
          <w:szCs w:val="24"/>
        </w:rPr>
        <w:t xml:space="preserve">, </w:t>
      </w:r>
      <w:r w:rsidR="006A5574">
        <w:rPr>
          <w:rFonts w:ascii="Verdana" w:eastAsia="Times New Roman" w:hAnsi="Verdana" w:cs="Times New Roman"/>
          <w:sz w:val="20"/>
          <w:szCs w:val="24"/>
          <w:lang w:val="es-ES"/>
        </w:rPr>
        <w:t>6</w:t>
      </w:r>
      <w:r w:rsidRPr="0045110A">
        <w:rPr>
          <w:rFonts w:ascii="Verdana" w:eastAsia="Times New Roman" w:hAnsi="Verdana" w:cs="Times New Roman"/>
          <w:sz w:val="20"/>
          <w:szCs w:val="24"/>
        </w:rPr>
        <w:t xml:space="preserve"> de </w:t>
      </w:r>
      <w:r w:rsidR="0045110A" w:rsidRPr="0045110A">
        <w:rPr>
          <w:rFonts w:ascii="Verdana" w:eastAsia="Times New Roman" w:hAnsi="Verdana" w:cs="Times New Roman"/>
          <w:sz w:val="20"/>
          <w:szCs w:val="24"/>
          <w:lang w:val="es-ES"/>
        </w:rPr>
        <w:t xml:space="preserve">abril </w:t>
      </w:r>
      <w:r w:rsidRPr="0045110A">
        <w:rPr>
          <w:rFonts w:ascii="Verdana" w:eastAsia="Times New Roman" w:hAnsi="Verdana" w:cs="Times New Roman"/>
          <w:sz w:val="20"/>
          <w:szCs w:val="24"/>
        </w:rPr>
        <w:t>de 202</w:t>
      </w:r>
      <w:r w:rsidR="0045110A" w:rsidRPr="0045110A">
        <w:rPr>
          <w:rFonts w:ascii="Verdana" w:eastAsia="Times New Roman" w:hAnsi="Verdana" w:cs="Times New Roman"/>
          <w:sz w:val="20"/>
          <w:szCs w:val="24"/>
          <w:lang w:val="es-ES"/>
        </w:rPr>
        <w:t>2</w:t>
      </w:r>
    </w:p>
    <w:p w14:paraId="0343A5E0" w14:textId="2FB2B2C3" w:rsidR="004968C1" w:rsidRPr="0045110A" w:rsidRDefault="004968C1" w:rsidP="0045110A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0"/>
          <w:szCs w:val="24"/>
        </w:rPr>
      </w:pPr>
      <w:r w:rsidRPr="0045110A">
        <w:rPr>
          <w:rFonts w:ascii="Verdana" w:eastAsia="Times New Roman" w:hAnsi="Verdana" w:cs="Times New Roman"/>
          <w:sz w:val="20"/>
          <w:szCs w:val="24"/>
        </w:rPr>
        <w:t xml:space="preserve">A: Consejo de redacción de la revista </w:t>
      </w:r>
      <w:r w:rsidRPr="0045110A">
        <w:rPr>
          <w:rFonts w:ascii="Verdana" w:eastAsia="Times New Roman" w:hAnsi="Verdana" w:cs="Times New Roman"/>
          <w:i/>
          <w:iCs/>
          <w:sz w:val="20"/>
          <w:szCs w:val="24"/>
        </w:rPr>
        <w:t>Cooperativismo y Desarrollo</w:t>
      </w:r>
      <w:r w:rsidRPr="0045110A">
        <w:rPr>
          <w:rFonts w:ascii="Verdana" w:eastAsia="Times New Roman" w:hAnsi="Verdana" w:cs="Times New Roman"/>
          <w:sz w:val="20"/>
          <w:szCs w:val="24"/>
        </w:rPr>
        <w:t>.</w:t>
      </w:r>
    </w:p>
    <w:p w14:paraId="553F45A9" w14:textId="1C8D9965" w:rsidR="004968C1" w:rsidRPr="0045110A" w:rsidRDefault="004968C1" w:rsidP="0045110A">
      <w:p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bCs/>
          <w:sz w:val="20"/>
          <w:szCs w:val="24"/>
          <w:u w:val="single"/>
          <w:lang w:val="es-ES"/>
        </w:rPr>
      </w:pPr>
      <w:r w:rsidRPr="0045110A">
        <w:rPr>
          <w:rFonts w:ascii="Verdana" w:eastAsia="Times New Roman" w:hAnsi="Verdana" w:cs="Times New Roman"/>
          <w:sz w:val="20"/>
          <w:szCs w:val="24"/>
        </w:rPr>
        <w:t>Nos permitimos presentar para proceso editorial con fines de publicación el artículo</w:t>
      </w:r>
      <w:r w:rsidR="00BA2908" w:rsidRPr="0045110A">
        <w:rPr>
          <w:rFonts w:ascii="Verdana" w:eastAsia="Times New Roman" w:hAnsi="Verdana" w:cs="Times New Roman"/>
          <w:sz w:val="20"/>
          <w:szCs w:val="24"/>
        </w:rPr>
        <w:t>:</w:t>
      </w:r>
      <w:r w:rsidRPr="0045110A">
        <w:rPr>
          <w:rFonts w:ascii="Verdana" w:eastAsia="Times New Roman" w:hAnsi="Verdana" w:cs="Times New Roman"/>
          <w:sz w:val="20"/>
          <w:szCs w:val="24"/>
        </w:rPr>
        <w:t xml:space="preserve"> </w:t>
      </w:r>
      <w:r w:rsidR="006A5574" w:rsidRPr="006A5574">
        <w:rPr>
          <w:rFonts w:ascii="Verdana" w:eastAsia="Times New Roman" w:hAnsi="Verdana" w:cs="Times New Roman"/>
          <w:bCs/>
          <w:sz w:val="20"/>
          <w:szCs w:val="24"/>
          <w:u w:val="single"/>
          <w:lang w:val="es-ES"/>
        </w:rPr>
        <w:t>Sistema de gestión de información de actores y sectores en la producción de alimentos de Pinar del Río</w:t>
      </w:r>
      <w:r w:rsidR="006A5574" w:rsidRPr="006A5574">
        <w:rPr>
          <w:rFonts w:ascii="Verdana" w:eastAsia="Times New Roman" w:hAnsi="Verdana" w:cs="Times New Roman"/>
          <w:bCs/>
          <w:sz w:val="20"/>
          <w:szCs w:val="24"/>
          <w:lang w:val="es-ES"/>
        </w:rPr>
        <w:t xml:space="preserve"> </w:t>
      </w:r>
      <w:r w:rsidRPr="0045110A">
        <w:rPr>
          <w:rFonts w:ascii="Verdana" w:eastAsia="Times New Roman" w:hAnsi="Verdana" w:cs="Times New Roman"/>
          <w:sz w:val="20"/>
          <w:szCs w:val="24"/>
        </w:rPr>
        <w:t>y declaramos:</w:t>
      </w:r>
    </w:p>
    <w:p w14:paraId="77604294" w14:textId="77777777" w:rsidR="004968C1" w:rsidRPr="0045110A" w:rsidRDefault="004968C1" w:rsidP="0045110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sz w:val="20"/>
          <w:szCs w:val="24"/>
        </w:rPr>
      </w:pPr>
      <w:r w:rsidRPr="0045110A">
        <w:rPr>
          <w:rFonts w:ascii="Verdana" w:eastAsia="Times New Roman" w:hAnsi="Verdana" w:cs="Times New Roman"/>
          <w:sz w:val="20"/>
          <w:szCs w:val="24"/>
        </w:rPr>
        <w:t>Que es inédito.</w:t>
      </w:r>
    </w:p>
    <w:p w14:paraId="42E724F9" w14:textId="77777777" w:rsidR="004968C1" w:rsidRPr="0045110A" w:rsidRDefault="004968C1" w:rsidP="0045110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sz w:val="20"/>
          <w:szCs w:val="24"/>
        </w:rPr>
      </w:pPr>
      <w:r w:rsidRPr="0045110A">
        <w:rPr>
          <w:rFonts w:ascii="Verdana" w:eastAsia="Times New Roman" w:hAnsi="Verdana" w:cs="Times New Roman"/>
          <w:sz w:val="20"/>
          <w:szCs w:val="24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14:paraId="38822C04" w14:textId="77777777" w:rsidR="004968C1" w:rsidRPr="0045110A" w:rsidRDefault="004968C1" w:rsidP="0045110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sz w:val="20"/>
          <w:szCs w:val="24"/>
        </w:rPr>
      </w:pPr>
      <w:r w:rsidRPr="0045110A">
        <w:rPr>
          <w:rFonts w:ascii="Verdana" w:eastAsia="Times New Roman" w:hAnsi="Verdana" w:cs="Times New Roman"/>
          <w:sz w:val="20"/>
          <w:szCs w:val="24"/>
        </w:rPr>
        <w:t>Que este artículo no ha sido publicado previamente, no se encuentra en proceso de revisión en otra revista, ni figura en otro trabajo aceptado para publicación por otra editorial.</w:t>
      </w:r>
    </w:p>
    <w:p w14:paraId="20129786" w14:textId="2146AEF5" w:rsidR="004968C1" w:rsidRPr="0045110A" w:rsidRDefault="004968C1" w:rsidP="0045110A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0"/>
          <w:szCs w:val="24"/>
        </w:rPr>
      </w:pPr>
      <w:r w:rsidRPr="0045110A">
        <w:rPr>
          <w:rFonts w:ascii="Verdana" w:eastAsia="Times New Roman" w:hAnsi="Verdana" w:cs="Times New Roman"/>
          <w:b/>
          <w:bCs/>
          <w:sz w:val="20"/>
          <w:szCs w:val="24"/>
        </w:rPr>
        <w:t>Declaración de la contribución de los autores</w:t>
      </w:r>
    </w:p>
    <w:p w14:paraId="2EFCF3C8" w14:textId="37137E8F" w:rsidR="006A5574" w:rsidRDefault="006A5574" w:rsidP="0045110A">
      <w:pPr>
        <w:jc w:val="both"/>
        <w:rPr>
          <w:rFonts w:ascii="Verdana" w:eastAsia="Calibri" w:hAnsi="Verdana" w:cs="Arial"/>
          <w:sz w:val="20"/>
          <w:szCs w:val="20"/>
        </w:rPr>
      </w:pPr>
      <w:r w:rsidRPr="0045110A">
        <w:rPr>
          <w:rFonts w:ascii="Verdana" w:eastAsia="Calibri" w:hAnsi="Verdana" w:cs="Arial"/>
          <w:sz w:val="20"/>
          <w:szCs w:val="20"/>
        </w:rPr>
        <w:t xml:space="preserve">Ing. </w:t>
      </w:r>
      <w:proofErr w:type="spellStart"/>
      <w:r>
        <w:rPr>
          <w:rFonts w:ascii="Verdana" w:eastAsia="Calibri" w:hAnsi="Verdana" w:cs="Arial"/>
          <w:sz w:val="20"/>
          <w:szCs w:val="20"/>
        </w:rPr>
        <w:t>Joovaim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Blanco Borrego</w:t>
      </w:r>
    </w:p>
    <w:p w14:paraId="67562465" w14:textId="6FC9E256" w:rsidR="0045110A" w:rsidRPr="0045110A" w:rsidRDefault="0045110A" w:rsidP="0045110A">
      <w:pPr>
        <w:jc w:val="both"/>
        <w:rPr>
          <w:rFonts w:ascii="Verdana" w:eastAsia="Calibri" w:hAnsi="Verdana" w:cs="Arial"/>
          <w:sz w:val="20"/>
          <w:szCs w:val="20"/>
        </w:rPr>
      </w:pPr>
      <w:proofErr w:type="spellStart"/>
      <w:r w:rsidRPr="0045110A">
        <w:rPr>
          <w:rFonts w:ascii="Verdana" w:eastAsia="Calibri" w:hAnsi="Verdana" w:cs="Arial"/>
          <w:sz w:val="20"/>
          <w:szCs w:val="20"/>
        </w:rPr>
        <w:t>MsC</w:t>
      </w:r>
      <w:proofErr w:type="spellEnd"/>
      <w:r w:rsidRPr="0045110A">
        <w:rPr>
          <w:rFonts w:ascii="Verdana" w:eastAsia="Calibri" w:hAnsi="Verdana" w:cs="Arial"/>
          <w:sz w:val="20"/>
          <w:szCs w:val="20"/>
        </w:rPr>
        <w:t xml:space="preserve">. Reinaldo Javier </w:t>
      </w:r>
      <w:r w:rsidR="00CF1AA5" w:rsidRPr="0045110A">
        <w:rPr>
          <w:rFonts w:ascii="Verdana" w:eastAsia="Calibri" w:hAnsi="Verdana" w:cs="Arial"/>
          <w:sz w:val="20"/>
          <w:szCs w:val="20"/>
        </w:rPr>
        <w:t>Rodríguez</w:t>
      </w:r>
      <w:r w:rsidRPr="0045110A">
        <w:rPr>
          <w:rFonts w:ascii="Verdana" w:eastAsia="Calibri" w:hAnsi="Verdana" w:cs="Arial"/>
          <w:sz w:val="20"/>
          <w:szCs w:val="20"/>
        </w:rPr>
        <w:t xml:space="preserve"> Font</w:t>
      </w:r>
    </w:p>
    <w:p w14:paraId="251F523B" w14:textId="01EB0BB2" w:rsidR="0045110A" w:rsidRDefault="0045110A" w:rsidP="0045110A">
      <w:pPr>
        <w:jc w:val="both"/>
        <w:rPr>
          <w:rFonts w:ascii="Verdana" w:eastAsia="Calibri" w:hAnsi="Verdana" w:cs="Arial"/>
          <w:sz w:val="20"/>
          <w:szCs w:val="20"/>
        </w:rPr>
      </w:pPr>
      <w:proofErr w:type="spellStart"/>
      <w:r w:rsidRPr="0045110A">
        <w:rPr>
          <w:rFonts w:ascii="Verdana" w:eastAsia="Calibri" w:hAnsi="Verdana" w:cs="Arial"/>
          <w:sz w:val="20"/>
          <w:szCs w:val="20"/>
        </w:rPr>
        <w:t>Dra.C</w:t>
      </w:r>
      <w:proofErr w:type="spellEnd"/>
      <w:r w:rsidRPr="0045110A">
        <w:rPr>
          <w:rFonts w:ascii="Verdana" w:eastAsia="Calibri" w:hAnsi="Verdana" w:cs="Arial"/>
          <w:sz w:val="20"/>
          <w:szCs w:val="20"/>
        </w:rPr>
        <w:t xml:space="preserve">. </w:t>
      </w:r>
      <w:proofErr w:type="spellStart"/>
      <w:r w:rsidRPr="0045110A">
        <w:rPr>
          <w:rFonts w:ascii="Verdana" w:eastAsia="Calibri" w:hAnsi="Verdana" w:cs="Arial"/>
          <w:sz w:val="20"/>
          <w:szCs w:val="20"/>
        </w:rPr>
        <w:t>Maidelyn</w:t>
      </w:r>
      <w:proofErr w:type="spellEnd"/>
      <w:r w:rsidRPr="0045110A">
        <w:rPr>
          <w:rFonts w:ascii="Verdana" w:eastAsia="Calibri" w:hAnsi="Verdana" w:cs="Arial"/>
          <w:sz w:val="20"/>
          <w:szCs w:val="20"/>
        </w:rPr>
        <w:t xml:space="preserve"> Díaz Pérez</w:t>
      </w:r>
    </w:p>
    <w:p w14:paraId="312C53AD" w14:textId="19464E57" w:rsidR="006A5574" w:rsidRPr="0045110A" w:rsidRDefault="006A5574" w:rsidP="0045110A">
      <w:pPr>
        <w:jc w:val="both"/>
        <w:rPr>
          <w:rFonts w:ascii="Verdana" w:eastAsia="Calibri" w:hAnsi="Verdana" w:cs="Arial"/>
          <w:sz w:val="20"/>
          <w:szCs w:val="20"/>
        </w:rPr>
      </w:pPr>
      <w:proofErr w:type="spellStart"/>
      <w:r>
        <w:rPr>
          <w:rFonts w:ascii="Verdana" w:eastAsia="Calibri" w:hAnsi="Verdana" w:cs="Arial"/>
          <w:sz w:val="20"/>
          <w:szCs w:val="20"/>
        </w:rPr>
        <w:t>MsC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. </w:t>
      </w:r>
      <w:proofErr w:type="spellStart"/>
      <w:r>
        <w:rPr>
          <w:rFonts w:ascii="Verdana" w:eastAsia="Calibri" w:hAnsi="Verdana" w:cs="Arial"/>
          <w:sz w:val="20"/>
          <w:szCs w:val="20"/>
        </w:rPr>
        <w:t>Orquidia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Miló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León</w:t>
      </w:r>
      <w:bookmarkStart w:id="0" w:name="_GoBack"/>
      <w:bookmarkEnd w:id="0"/>
    </w:p>
    <w:p w14:paraId="1CB00A08" w14:textId="77777777" w:rsidR="0045110A" w:rsidRPr="0045110A" w:rsidRDefault="0045110A" w:rsidP="0045110A">
      <w:pPr>
        <w:pStyle w:val="NormalWeb"/>
        <w:jc w:val="both"/>
      </w:pPr>
      <w:r w:rsidRPr="0045110A">
        <w:rPr>
          <w:rFonts w:ascii="Verdana" w:hAnsi="Verdana"/>
          <w:sz w:val="20"/>
          <w:szCs w:val="20"/>
        </w:rPr>
        <w:t>Todos los autores de este trabajo han participado en su planificación, concepción, diseño y ejecución, así como en la interpretación de los resultados. Asimismo, revisaron críticamente el trabajo, aprobaron su versión final y están de acuerdo con su publicación.</w:t>
      </w:r>
      <w:r w:rsidRPr="0045110A">
        <w:t xml:space="preserve"> </w:t>
      </w:r>
    </w:p>
    <w:p w14:paraId="285F68F6" w14:textId="77777777" w:rsidR="00BA2908" w:rsidRPr="0045110A" w:rsidRDefault="00BA2908" w:rsidP="0045110A">
      <w:p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sz w:val="20"/>
          <w:szCs w:val="24"/>
        </w:rPr>
      </w:pPr>
    </w:p>
    <w:p w14:paraId="7640DB60" w14:textId="5F16726E" w:rsidR="004968C1" w:rsidRPr="0045110A" w:rsidRDefault="004968C1" w:rsidP="00BA2908">
      <w:pPr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sz w:val="20"/>
          <w:szCs w:val="24"/>
        </w:rPr>
      </w:pPr>
    </w:p>
    <w:sectPr w:rsidR="004968C1" w:rsidRPr="004511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018E7"/>
    <w:multiLevelType w:val="multilevel"/>
    <w:tmpl w:val="34B0D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F1F68"/>
    <w:multiLevelType w:val="multilevel"/>
    <w:tmpl w:val="1E90F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5C5F71"/>
    <w:multiLevelType w:val="hybridMultilevel"/>
    <w:tmpl w:val="9FF26F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25C7D"/>
    <w:multiLevelType w:val="multilevel"/>
    <w:tmpl w:val="F370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8C1"/>
    <w:rsid w:val="000C791D"/>
    <w:rsid w:val="0045110A"/>
    <w:rsid w:val="004624A1"/>
    <w:rsid w:val="004968C1"/>
    <w:rsid w:val="006A5574"/>
    <w:rsid w:val="00BA2908"/>
    <w:rsid w:val="00BD29D2"/>
    <w:rsid w:val="00C01185"/>
    <w:rsid w:val="00CF1AA5"/>
    <w:rsid w:val="00D3053F"/>
    <w:rsid w:val="00D54AE3"/>
    <w:rsid w:val="00DB4ACD"/>
    <w:rsid w:val="00E8790D"/>
    <w:rsid w:val="00F0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F1947"/>
  <w15:chartTrackingRefBased/>
  <w15:docId w15:val="{019511A4-E641-4454-B819-032C361F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29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5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0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home</cp:lastModifiedBy>
  <cp:revision>2</cp:revision>
  <dcterms:created xsi:type="dcterms:W3CDTF">2022-04-06T19:35:00Z</dcterms:created>
  <dcterms:modified xsi:type="dcterms:W3CDTF">2022-04-06T19:35:00Z</dcterms:modified>
</cp:coreProperties>
</file>