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F0D1E" w14:textId="53DD7D47" w:rsidR="00646DD2" w:rsidRPr="00ED21C1" w:rsidRDefault="00695717" w:rsidP="00B320DF">
      <w:pPr>
        <w:jc w:val="center"/>
        <w:rPr>
          <w:rFonts w:ascii="Myriad Pro" w:hAnsi="Myriad Pro"/>
          <w:sz w:val="26"/>
          <w:szCs w:val="28"/>
        </w:rPr>
      </w:pPr>
      <w:r w:rsidRPr="00ED21C1">
        <w:rPr>
          <w:rFonts w:ascii="Myriad Pro" w:hAnsi="Myriad Pro"/>
          <w:sz w:val="26"/>
          <w:szCs w:val="28"/>
        </w:rPr>
        <w:t>CARTA DE ORIGINALIDAD Y CONTRIBUCIÓN DE AUTORES</w:t>
      </w:r>
    </w:p>
    <w:p w14:paraId="2D3C128A" w14:textId="45B559C7" w:rsidR="00695717" w:rsidRPr="00ED21C1" w:rsidRDefault="00B320DF" w:rsidP="00B320DF">
      <w:pPr>
        <w:shd w:val="clear" w:color="auto" w:fill="FFFFFF"/>
        <w:spacing w:after="150" w:line="300" w:lineRule="atLeast"/>
        <w:jc w:val="right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Matanzas</w:t>
      </w:r>
      <w:r w:rsidR="00695717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, </w:t>
      </w:r>
      <w:r w:rsidR="00415DEC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2</w:t>
      </w:r>
      <w:r w:rsidR="00100736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4</w:t>
      </w:r>
      <w:r w:rsidR="00415DEC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de febrero de 2022</w:t>
      </w:r>
    </w:p>
    <w:p w14:paraId="38F8B07F" w14:textId="4B082D3B" w:rsidR="00695717" w:rsidRPr="00ED21C1" w:rsidRDefault="00695717" w:rsidP="00B320DF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 A: Consejo de redacción de la revista </w:t>
      </w:r>
      <w:r w:rsidRPr="00ED21C1">
        <w:rPr>
          <w:rFonts w:ascii="MyriadPro-Regular" w:eastAsia="Times New Roman" w:hAnsi="MyriadPro-Regular" w:cs="Times New Roman"/>
          <w:i/>
          <w:iCs/>
          <w:color w:val="333333"/>
          <w:sz w:val="26"/>
          <w:szCs w:val="28"/>
          <w:lang w:eastAsia="es-ES"/>
        </w:rPr>
        <w:t>Cooperativismo y Desarrollo</w:t>
      </w: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.</w:t>
      </w:r>
    </w:p>
    <w:p w14:paraId="3797C696" w14:textId="6E43DAD6" w:rsidR="00695717" w:rsidRPr="00ED21C1" w:rsidRDefault="00695717" w:rsidP="00B320DF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Nos permitimos presentar para proceso editorial con fines de publicación el artículo</w:t>
      </w:r>
      <w:r w:rsidR="00BC19AA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</w:t>
      </w:r>
      <w:r w:rsidR="00BC19AA" w:rsidRPr="00ED21C1">
        <w:rPr>
          <w:rFonts w:ascii="MyriadPro-Regular" w:eastAsia="Times New Roman" w:hAnsi="MyriadPro-Regular" w:cs="Times New Roman"/>
          <w:i/>
          <w:iCs/>
          <w:color w:val="333333"/>
          <w:sz w:val="26"/>
          <w:szCs w:val="28"/>
          <w:u w:val="single"/>
          <w:lang w:eastAsia="es-ES"/>
        </w:rPr>
        <w:t>Aproximación teórica de instrumentos y mecanismos económicos financieros para la gestión ambiental de bahías</w:t>
      </w:r>
      <w:r w:rsidR="00BC19AA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 y</w:t>
      </w: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declaramos:</w:t>
      </w:r>
    </w:p>
    <w:p w14:paraId="54AA4926" w14:textId="77777777" w:rsidR="00695717" w:rsidRPr="00ED21C1" w:rsidRDefault="00695717" w:rsidP="00B32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Que es inédito.</w:t>
      </w:r>
    </w:p>
    <w:p w14:paraId="23C51CC9" w14:textId="1B28A2AC" w:rsidR="00695717" w:rsidRPr="00ED21C1" w:rsidRDefault="00695717" w:rsidP="00B32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Que cada una de las personas que en el mismo constan como autora o autor ha</w:t>
      </w:r>
      <w:r w:rsidR="002A70DA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n</w:t>
      </w: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contribuido directamente al contenido intelectual del trabajo, aprueba los contenidos del manuscrito que se somete a proceso editorial y da su conformidad para que su nombre figure en la autoría del mismo.</w:t>
      </w:r>
    </w:p>
    <w:p w14:paraId="5BEE06A9" w14:textId="77777777" w:rsidR="00695717" w:rsidRPr="00ED21C1" w:rsidRDefault="00695717" w:rsidP="00B320D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jc w:val="both"/>
        <w:textAlignment w:val="center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Que este artículo no ha sido publicado previamente, no se encuentra en proceso de revisión en otra revista, ni figura en otro trabajo aceptado para publicación por otra editorial.</w:t>
      </w:r>
    </w:p>
    <w:p w14:paraId="710CE181" w14:textId="27A38075" w:rsidR="002A70DA" w:rsidRPr="00ED21C1" w:rsidRDefault="002A70DA" w:rsidP="002A70D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Declaración de la contribución de los autores:</w:t>
      </w:r>
    </w:p>
    <w:p w14:paraId="1633FF90" w14:textId="21A52A99" w:rsidR="002A70DA" w:rsidRPr="00ED21C1" w:rsidRDefault="002A70DA" w:rsidP="002A70D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1.</w:t>
      </w:r>
      <w:r w:rsidR="008716C1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  </w:t>
      </w: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Yenisleidys Monzón Aldama diseñó el estudio, analizó los datos</w:t>
      </w:r>
      <w:r w:rsidR="008716C1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, </w:t>
      </w: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elaboró el borrador</w:t>
      </w:r>
      <w:r w:rsidR="008716C1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, estuvo implicada en la recogida, el análisis e interpretación de los datos.</w:t>
      </w:r>
    </w:p>
    <w:p w14:paraId="4BCE00E8" w14:textId="3508C080" w:rsidR="008716C1" w:rsidRPr="00ED21C1" w:rsidRDefault="002A70DA" w:rsidP="002A70D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2.</w:t>
      </w:r>
      <w:r w:rsidR="008716C1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 Sheila Pérez Diaz</w:t>
      </w: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</w:t>
      </w:r>
      <w:bookmarkStart w:id="0" w:name="_Hlk96336564"/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estuvo implicad</w:t>
      </w:r>
      <w:r w:rsidR="008716C1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a</w:t>
      </w: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en la recogida, el análisis e interpretación de los datos</w:t>
      </w:r>
      <w:bookmarkEnd w:id="0"/>
      <w:r w:rsidR="008716C1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.</w:t>
      </w:r>
    </w:p>
    <w:p w14:paraId="7E5C9A5E" w14:textId="11E0909F" w:rsidR="008716C1" w:rsidRPr="00ED21C1" w:rsidRDefault="002A70DA" w:rsidP="002A70D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3.</w:t>
      </w:r>
      <w:r w:rsidR="008716C1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     Mercedes Marrero Marrero y Maritza Petersson Roldán realizaron la revisión crítica del artículo con aportes importantes a su contenido intelectual y aprobaron la versión final a ser publicada.</w:t>
      </w:r>
    </w:p>
    <w:p w14:paraId="5655CD11" w14:textId="739F165B" w:rsidR="002A70DA" w:rsidRPr="00ED21C1" w:rsidRDefault="008716C1" w:rsidP="002A70D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</w:pPr>
      <w:r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 xml:space="preserve">4.       </w:t>
      </w:r>
      <w:r w:rsidR="002A70DA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Todos los autores revisaron la redacción del manuscrito y aprueban la versión finalmente remitida</w:t>
      </w:r>
      <w:r w:rsidR="007F6C4A" w:rsidRPr="00ED21C1">
        <w:rPr>
          <w:rFonts w:ascii="MyriadPro-Regular" w:eastAsia="Times New Roman" w:hAnsi="MyriadPro-Regular" w:cs="Times New Roman"/>
          <w:color w:val="333333"/>
          <w:sz w:val="26"/>
          <w:szCs w:val="28"/>
          <w:lang w:eastAsia="es-ES"/>
        </w:rPr>
        <w:t>.</w:t>
      </w:r>
    </w:p>
    <w:p w14:paraId="4C8EDFCC" w14:textId="518D7373" w:rsidR="00254E2D" w:rsidRDefault="00FC5856" w:rsidP="002A70DA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</w:pPr>
      <w:r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                                  </w:t>
      </w:r>
      <w:r>
        <w:rPr>
          <w:rFonts w:ascii="MyriadPro-Regular" w:eastAsia="Times New Roman" w:hAnsi="MyriadPro-Regular" w:cs="Times New Roman"/>
          <w:noProof/>
          <w:color w:val="333333"/>
          <w:sz w:val="28"/>
          <w:szCs w:val="28"/>
          <w:lang w:eastAsia="es-ES"/>
        </w:rPr>
        <w:drawing>
          <wp:inline distT="0" distB="0" distL="0" distR="0" wp14:anchorId="6ACF293B" wp14:editId="46A695BF">
            <wp:extent cx="514350" cy="6667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                                                 </w:t>
      </w:r>
      <w:r w:rsidR="004F2DCD" w:rsidRPr="004F2DCD">
        <w:rPr>
          <w:rFonts w:ascii="MyriadPro-Regular" w:eastAsia="Times New Roman" w:hAnsi="MyriadPro-Regular" w:cs="Times New Roman"/>
          <w:noProof/>
          <w:color w:val="333333"/>
          <w:sz w:val="28"/>
          <w:szCs w:val="28"/>
          <w:lang w:eastAsia="es-ES"/>
        </w:rPr>
        <w:drawing>
          <wp:inline distT="0" distB="0" distL="0" distR="0" wp14:anchorId="4FA3D569" wp14:editId="3F1403C4">
            <wp:extent cx="809625" cy="421378"/>
            <wp:effectExtent l="0" t="0" r="0" b="0"/>
            <wp:docPr id="4" name="Imagen 4" descr="C:\Users\VDD\Downloads\20220224_13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DD\Downloads\20220224_1359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63" cy="43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1E09A" w14:textId="59C453CB" w:rsidR="00695717" w:rsidRPr="00695717" w:rsidRDefault="00695717" w:rsidP="00B320DF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</w:pPr>
      <w:r w:rsidRPr="00695717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               </w:t>
      </w:r>
      <w:r w:rsidRPr="00B320DF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>Yenisleidys Monzón Aldama</w:t>
      </w:r>
      <w:r w:rsidRPr="00695717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                     </w:t>
      </w:r>
      <w:r w:rsidRPr="00B320DF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>Sheila Pérez Diaz</w:t>
      </w:r>
      <w:bookmarkStart w:id="1" w:name="_GoBack"/>
      <w:bookmarkEnd w:id="1"/>
    </w:p>
    <w:p w14:paraId="58A8E37C" w14:textId="2ADFB01D" w:rsidR="00695717" w:rsidRPr="00695717" w:rsidRDefault="00695717" w:rsidP="00B320DF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</w:pPr>
      <w:r w:rsidRPr="00695717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>  </w:t>
      </w:r>
    </w:p>
    <w:p w14:paraId="622BDF71" w14:textId="63DAFFAC" w:rsidR="00695717" w:rsidRPr="00695717" w:rsidRDefault="00254E2D" w:rsidP="00254E2D">
      <w:pPr>
        <w:shd w:val="clear" w:color="auto" w:fill="FFFFFF"/>
        <w:spacing w:after="150" w:line="300" w:lineRule="atLeast"/>
        <w:ind w:right="1274"/>
        <w:jc w:val="both"/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</w:pPr>
      <w:r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                  </w:t>
      </w:r>
      <w:r>
        <w:rPr>
          <w:rFonts w:ascii="MyriadPro-Regular" w:eastAsia="Times New Roman" w:hAnsi="MyriadPro-Regular" w:cs="Times New Roman"/>
          <w:noProof/>
          <w:color w:val="333333"/>
          <w:sz w:val="28"/>
          <w:szCs w:val="28"/>
          <w:lang w:eastAsia="es-ES"/>
        </w:rPr>
        <w:drawing>
          <wp:inline distT="0" distB="0" distL="0" distR="0" wp14:anchorId="3345FF3C" wp14:editId="0A351AE4">
            <wp:extent cx="1104900" cy="845559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711" cy="86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5DEC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           </w:t>
      </w:r>
      <w:r w:rsidR="00695717" w:rsidRPr="00695717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>            </w:t>
      </w:r>
      <w:r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           </w:t>
      </w:r>
      <w:r w:rsidR="00695717" w:rsidRPr="00695717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>     </w:t>
      </w:r>
      <w:r w:rsidR="002A70DA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  </w:t>
      </w:r>
      <w:r w:rsidR="00720454">
        <w:rPr>
          <w:rFonts w:ascii="MyriadPro-Regular" w:eastAsia="Times New Roman" w:hAnsi="MyriadPro-Regular" w:cs="Times New Roman"/>
          <w:noProof/>
          <w:color w:val="333333"/>
          <w:sz w:val="28"/>
          <w:szCs w:val="28"/>
          <w:lang w:eastAsia="es-ES"/>
        </w:rPr>
        <w:drawing>
          <wp:inline distT="0" distB="0" distL="0" distR="0" wp14:anchorId="0831C109" wp14:editId="1F52F1F4">
            <wp:extent cx="885825" cy="77125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187" cy="779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BA1082" w14:textId="63706E81" w:rsidR="00695717" w:rsidRPr="00695717" w:rsidRDefault="00695717" w:rsidP="00B320DF">
      <w:pPr>
        <w:shd w:val="clear" w:color="auto" w:fill="FFFFFF"/>
        <w:spacing w:after="150" w:line="300" w:lineRule="atLeast"/>
        <w:jc w:val="both"/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</w:pPr>
      <w:r w:rsidRPr="00695717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            </w:t>
      </w:r>
      <w:r w:rsidR="00415DEC" w:rsidRPr="00415DEC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Mercedes Marrero Marrero </w:t>
      </w:r>
      <w:r w:rsidR="00415DEC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 xml:space="preserve">               </w:t>
      </w:r>
      <w:r w:rsidR="00415DEC" w:rsidRPr="00415DEC">
        <w:rPr>
          <w:rFonts w:ascii="MyriadPro-Regular" w:eastAsia="Times New Roman" w:hAnsi="MyriadPro-Regular" w:cs="Times New Roman"/>
          <w:color w:val="333333"/>
          <w:sz w:val="28"/>
          <w:szCs w:val="28"/>
          <w:lang w:eastAsia="es-ES"/>
        </w:rPr>
        <w:t>Maritza Petersson Roldán</w:t>
      </w:r>
    </w:p>
    <w:sectPr w:rsidR="00695717" w:rsidRPr="00695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33C76"/>
    <w:multiLevelType w:val="multilevel"/>
    <w:tmpl w:val="8CB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34210C"/>
    <w:multiLevelType w:val="multilevel"/>
    <w:tmpl w:val="FA94A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12722A"/>
    <w:multiLevelType w:val="multilevel"/>
    <w:tmpl w:val="EFE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98"/>
    <w:rsid w:val="00100736"/>
    <w:rsid w:val="00254E2D"/>
    <w:rsid w:val="002A70DA"/>
    <w:rsid w:val="00363F98"/>
    <w:rsid w:val="00415DEC"/>
    <w:rsid w:val="004C51C0"/>
    <w:rsid w:val="004F2DCD"/>
    <w:rsid w:val="00646DD2"/>
    <w:rsid w:val="00695717"/>
    <w:rsid w:val="00720454"/>
    <w:rsid w:val="007F6C4A"/>
    <w:rsid w:val="008716C1"/>
    <w:rsid w:val="00902F63"/>
    <w:rsid w:val="00B2697C"/>
    <w:rsid w:val="00B320DF"/>
    <w:rsid w:val="00BC19AA"/>
    <w:rsid w:val="00ED21C1"/>
    <w:rsid w:val="00FC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0929EA9"/>
  <w15:chartTrackingRefBased/>
  <w15:docId w15:val="{0369B527-56C7-4C0B-A910-D9C0D90E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9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</dc:creator>
  <cp:keywords/>
  <dc:description/>
  <cp:lastModifiedBy>VDD</cp:lastModifiedBy>
  <cp:revision>12</cp:revision>
  <dcterms:created xsi:type="dcterms:W3CDTF">2022-02-19T23:45:00Z</dcterms:created>
  <dcterms:modified xsi:type="dcterms:W3CDTF">2022-02-24T19:03:00Z</dcterms:modified>
</cp:coreProperties>
</file>